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A75" w:rsidRDefault="009D7A75" w:rsidP="000516E5">
      <w:bookmarkStart w:id="0" w:name="_GoBack"/>
      <w:bookmarkEnd w:id="0"/>
    </w:p>
    <w:p w:rsidR="000516E5" w:rsidRDefault="000516E5" w:rsidP="000516E5">
      <w:pPr>
        <w:jc w:val="right"/>
      </w:pPr>
      <w:r>
        <w:t>Toluca de Lerdo, México, a 7 de marzo de 2023.</w:t>
      </w:r>
    </w:p>
    <w:p w:rsidR="000516E5" w:rsidRDefault="000516E5" w:rsidP="000516E5">
      <w:pPr>
        <w:jc w:val="both"/>
      </w:pPr>
      <w:r>
        <w:t xml:space="preserve">DIP. MARCO ANTONIO CRUZ </w:t>
      </w:r>
      <w:proofErr w:type="spellStart"/>
      <w:r>
        <w:t>CRUZ</w:t>
      </w:r>
      <w:proofErr w:type="spellEnd"/>
    </w:p>
    <w:p w:rsidR="000516E5" w:rsidRDefault="000516E5" w:rsidP="000516E5">
      <w:pPr>
        <w:jc w:val="both"/>
      </w:pPr>
      <w:r>
        <w:t>PRESIDENTE LA MESA DIRECTIVA DE LA H “LXI”</w:t>
      </w:r>
    </w:p>
    <w:p w:rsidR="000516E5" w:rsidRDefault="000516E5" w:rsidP="000516E5">
      <w:pPr>
        <w:jc w:val="both"/>
      </w:pPr>
      <w:r>
        <w:t>LEGISLATURA DEL ESTADO DE MÉXICO.</w:t>
      </w:r>
    </w:p>
    <w:p w:rsidR="000516E5" w:rsidRDefault="000516E5" w:rsidP="000516E5">
      <w:pPr>
        <w:jc w:val="both"/>
      </w:pPr>
      <w:r>
        <w:t>PRESENTE.</w:t>
      </w:r>
    </w:p>
    <w:p w:rsidR="000516E5" w:rsidRDefault="000516E5" w:rsidP="000516E5">
      <w:pPr>
        <w:jc w:val="both"/>
      </w:pPr>
    </w:p>
    <w:p w:rsidR="000516E5" w:rsidRDefault="000516E5" w:rsidP="000516E5">
      <w:pPr>
        <w:jc w:val="both"/>
      </w:pPr>
      <w:r>
        <w:t>Diputada Anais Miriam Burgos Hernández, integrante  del Grupo Parlamentario de Morena en la LXI Legislatura del Congreso Local, con fundamento en lo dispuesto en los artículos 6 y 71 fracción III de la Constitución Política de los Estados Unidos Mexicanos; 51, fracción II; 57 y 61, fracción I de la Constitución Política del Estado Libre y Soberano de México; 28, fracción I; 38, fracción II; 79 y 81 de la Ley Orgánica del Poder Legislativo del Estado Libre y Soberano de México, así como 68 del Reglamento del Poder Legislativo del Estado de México, someto a la consideración de este órgano legislativo, la siguiente Iniciativa con Proyecto de Decreto por el que se reforman y adicionan diversos artículos del Código Penal  y Código Civil ambos del Estado de México,  con sustento en la siguiente:</w:t>
      </w:r>
    </w:p>
    <w:p w:rsidR="000516E5" w:rsidRDefault="000516E5" w:rsidP="000516E5">
      <w:pPr>
        <w:jc w:val="both"/>
      </w:pPr>
    </w:p>
    <w:p w:rsidR="000516E5" w:rsidRPr="000516E5" w:rsidRDefault="000516E5" w:rsidP="000516E5">
      <w:pPr>
        <w:jc w:val="center"/>
        <w:rPr>
          <w:b/>
        </w:rPr>
      </w:pPr>
      <w:r w:rsidRPr="000516E5">
        <w:rPr>
          <w:b/>
        </w:rPr>
        <w:t>EXPOSICIÓN DE MOTIVOS</w:t>
      </w:r>
    </w:p>
    <w:p w:rsidR="000516E5" w:rsidRDefault="000516E5" w:rsidP="000516E5">
      <w:pPr>
        <w:jc w:val="both"/>
      </w:pPr>
    </w:p>
    <w:p w:rsidR="000516E5" w:rsidRDefault="000516E5" w:rsidP="000516E5">
      <w:pPr>
        <w:jc w:val="both"/>
      </w:pPr>
    </w:p>
    <w:p w:rsidR="000516E5" w:rsidRPr="00111F3D" w:rsidRDefault="000516E5" w:rsidP="000516E5">
      <w:pPr>
        <w:jc w:val="both"/>
      </w:pPr>
      <w:r w:rsidRPr="00111F3D">
        <w:t>La violencia contra mujeres y niñas es una de las violaciones de los derechos humanos más generalizadas. En algunos países,</w:t>
      </w:r>
      <w:r>
        <w:t xml:space="preserve"> se estima que</w:t>
      </w:r>
      <w:r w:rsidRPr="00111F3D">
        <w:t xml:space="preserve"> hasta 7 de cada 10 mujeres sufrirán golpes, violaciones, abusos o mutilaciones a lo largo de sus vidas. El feminicidio es un delito que no podemos tolerar, y mientras lo erradicamos de una vez por todas no podemos tampoco permitir que se eternice y se instale permanentemente en la vida de sus víctimas indirectas.</w:t>
      </w:r>
    </w:p>
    <w:p w:rsidR="000516E5" w:rsidRPr="00111F3D" w:rsidRDefault="000516E5" w:rsidP="000516E5">
      <w:pPr>
        <w:jc w:val="both"/>
      </w:pPr>
      <w:r>
        <w:t>En el Estado de México, d</w:t>
      </w:r>
      <w:r w:rsidRPr="00111F3D">
        <w:t xml:space="preserve">e acuerdo con el artículo “Violencia de Género contra mujeres y niñas en el Estado de México: una revisión de la información reciente” de la investigadora Irma </w:t>
      </w:r>
      <w:proofErr w:type="spellStart"/>
      <w:r w:rsidRPr="00111F3D">
        <w:t>Kánter</w:t>
      </w:r>
      <w:proofErr w:type="spellEnd"/>
      <w:r w:rsidRPr="00111F3D">
        <w:t xml:space="preserve"> Coronel, el cual forma parte del Atlas de Seguridad del Estado de México 2022, los avances en materia jurídica con reformas para prevenir y sancionar ese delito no han impactado positivamente </w:t>
      </w:r>
      <w:r w:rsidRPr="00111F3D">
        <w:lastRenderedPageBreak/>
        <w:t>para detener la violencia feminicida en contra de mujeres y niñas, la cual, se ha expandido por todo el territorio nacional.</w:t>
      </w:r>
    </w:p>
    <w:p w:rsidR="000516E5" w:rsidRPr="00111F3D" w:rsidRDefault="000516E5" w:rsidP="000516E5">
      <w:pPr>
        <w:jc w:val="both"/>
      </w:pPr>
      <w:r w:rsidRPr="00111F3D">
        <w:t>En el Estado de México</w:t>
      </w:r>
      <w:r>
        <w:t xml:space="preserve"> señala el estudio,</w:t>
      </w:r>
      <w:r w:rsidRPr="00111F3D">
        <w:t xml:space="preserve"> la violencia feminicida contra mujeres y niñas no sólo se ha elevado de manera sostenida en los últimos años, también se ha extendido y abarca un mayor número de municipios mexiquenses, pero, además, los lugares donde son asesinadas las mujeres y las niñas han cambiado, pues actualmente se cometen más asesinatos en espacios públicos.</w:t>
      </w:r>
    </w:p>
    <w:p w:rsidR="000516E5" w:rsidRPr="00111F3D" w:rsidRDefault="000516E5" w:rsidP="000516E5">
      <w:pPr>
        <w:jc w:val="both"/>
      </w:pPr>
      <w:r w:rsidRPr="00111F3D">
        <w:t xml:space="preserve">Además, la investigación menciona que entre 2015 y 2021 cerca del 18.8% de los feminicidios se cometieron con arma blanca, es decir, con crueldad y con la intención de prolongar el dolor, de producir sufrimiento y lesiones vejatorias y degradantes mediante el sometimiento y el uso de la fuerza, como en los casos de la asfixia, los golpes y el envenenamiento, entre otros. </w:t>
      </w:r>
    </w:p>
    <w:p w:rsidR="000516E5" w:rsidRPr="00111F3D" w:rsidRDefault="000516E5" w:rsidP="000516E5">
      <w:pPr>
        <w:jc w:val="both"/>
      </w:pPr>
      <w:r w:rsidRPr="00111F3D">
        <w:t>Adicionalmente, de acuerdo con datos del INEGI, precisó, en el Estado de México se registraron tres mil 099 homicidios intencionales de mujeres y niñas entre los años 2015 y 2021, cantidad superior en 341 al conjunto de los feminicidios, que sumaron 735 y homicidios intencionales, que fueron dos mil 23, reportados por el Secretariado Ejecutivo.</w:t>
      </w:r>
    </w:p>
    <w:p w:rsidR="000516E5" w:rsidRPr="00111F3D" w:rsidRDefault="000516E5" w:rsidP="000516E5">
      <w:pPr>
        <w:jc w:val="both"/>
      </w:pPr>
      <w:r w:rsidRPr="00111F3D">
        <w:t>La mayoría ocurrieron en la vía pública: en calles o carreteras, en segundo lugar, se perpetraron en viviendas, pues en 2021 de cada cien víctimas, a 38 les arrebataron la vida en la vía pública y a 39 en otros espacios públicos.</w:t>
      </w:r>
    </w:p>
    <w:p w:rsidR="000516E5" w:rsidRPr="00111F3D" w:rsidRDefault="000516E5" w:rsidP="000516E5">
      <w:pPr>
        <w:jc w:val="both"/>
      </w:pPr>
      <w:r>
        <w:t>Parte de las conclusiones de este estudio o</w:t>
      </w:r>
      <w:r w:rsidRPr="00111F3D">
        <w:t xml:space="preserve"> tareas pendientes son encontrar la manera de superar la falta de resultados de las acciones estatales y municipales emprendidas y combatir la impunidad que caracteriza a los feminicidios y homicidios intencionales cometidos contra mujeres y niñas, que derivan en una crisis en materia de derechos humanos.</w:t>
      </w:r>
    </w:p>
    <w:p w:rsidR="000516E5" w:rsidRDefault="000516E5" w:rsidP="000516E5">
      <w:pPr>
        <w:jc w:val="both"/>
      </w:pPr>
      <w:r w:rsidRPr="0008329E">
        <w:t>Con esta reforma se resarciría un poco la deuda pendiente que tenemos con todas esas mujeres, madres de familia, que no pudimos proteger y que fueron víctimas de violencia física, hasta perder la vida.</w:t>
      </w:r>
    </w:p>
    <w:p w:rsidR="000516E5" w:rsidRPr="0008329E" w:rsidRDefault="000516E5" w:rsidP="000516E5">
      <w:pPr>
        <w:jc w:val="both"/>
      </w:pPr>
      <w:r>
        <w:t xml:space="preserve">Actualmente el artículo </w:t>
      </w:r>
      <w:proofErr w:type="spellStart"/>
      <w:r>
        <w:t>28I</w:t>
      </w:r>
      <w:proofErr w:type="spellEnd"/>
      <w:r>
        <w:t xml:space="preserve"> del Código Penal, tipifica el feminicidio, sin embargo, en dicha disposición no se establece que el sujeto activo pierda todos los derechos con relación a la víctima indirecta que son hijas e hijos. En esta circunstancia la importancia radica cuando el delito produce orfandad materna y el activo resulta ser el padre de los hijos de la víctima directa.</w:t>
      </w:r>
    </w:p>
    <w:p w:rsidR="00737023" w:rsidRDefault="00737023" w:rsidP="000516E5">
      <w:pPr>
        <w:jc w:val="both"/>
      </w:pPr>
    </w:p>
    <w:p w:rsidR="000516E5" w:rsidRPr="0008329E" w:rsidRDefault="000516E5" w:rsidP="000516E5">
      <w:pPr>
        <w:jc w:val="both"/>
      </w:pPr>
      <w:r>
        <w:t>A</w:t>
      </w:r>
      <w:r w:rsidRPr="0008329E">
        <w:t>l quitarle</w:t>
      </w:r>
      <w:r>
        <w:t xml:space="preserve"> o suspenderle</w:t>
      </w:r>
      <w:r w:rsidRPr="0008329E">
        <w:t xml:space="preserve"> la patria potestad sobre sus hijos al padre feminicida, les permitimos a esos menores generar nuevos lazos afectivos con familiares que se preocupen por ellos y estén </w:t>
      </w:r>
      <w:r w:rsidRPr="0008329E">
        <w:lastRenderedPageBreak/>
        <w:t>dispuestos a brindarles el amor, la protección, la seguridad y entorno favorable que requieren para su mejor desarrollo y la superación de ese hecho violento y traumático en su vida.</w:t>
      </w:r>
    </w:p>
    <w:p w:rsidR="000516E5" w:rsidRPr="0008329E" w:rsidRDefault="000516E5" w:rsidP="000516E5">
      <w:pPr>
        <w:jc w:val="both"/>
      </w:pPr>
      <w:r>
        <w:t>E</w:t>
      </w:r>
      <w:r w:rsidRPr="0008329E">
        <w:t>liminar el vínculo de los hijos con el padre feminicida que probablemente violentó sistemáticamente por mucho tiempo a su esposa y, finalmente, se las arrebató de manera violenta.</w:t>
      </w:r>
    </w:p>
    <w:p w:rsidR="000516E5" w:rsidRPr="0008329E" w:rsidRDefault="000516E5" w:rsidP="000516E5">
      <w:pPr>
        <w:jc w:val="both"/>
      </w:pPr>
      <w:r w:rsidRPr="0008329E">
        <w:t>Ese padre, si no actuamos, puede seguir representando para ellos un obstáculo para intentar sanar el daño emocional creado por la ausencia física de su madre y la violencia experimentada, así como también ser una fuente inagotable de revictimización y de peligro para su integridad física y también emocional y psicológica.</w:t>
      </w:r>
    </w:p>
    <w:p w:rsidR="000516E5" w:rsidRPr="0008329E" w:rsidRDefault="000516E5" w:rsidP="000516E5">
      <w:pPr>
        <w:jc w:val="both"/>
      </w:pPr>
      <w:r>
        <w:t xml:space="preserve">El </w:t>
      </w:r>
      <w:r w:rsidRPr="0008329E">
        <w:t xml:space="preserve">delito no inicia ni termina con la muerte de la mujer, ni ella es la única víctima, también lo son sus hijas, hijos y familiares directos a quienes debemos proteger, pues con ese delito </w:t>
      </w:r>
      <w:r>
        <w:t>también se les trastoca la vida</w:t>
      </w:r>
      <w:r w:rsidRPr="0008329E">
        <w:t>.</w:t>
      </w:r>
    </w:p>
    <w:p w:rsidR="000516E5" w:rsidRDefault="000516E5" w:rsidP="000516E5">
      <w:r w:rsidRPr="0008329E">
        <w:t xml:space="preserve">Esta reforma busca proteger a los niños y las niñas de ser revictimizados, </w:t>
      </w:r>
      <w:proofErr w:type="gramStart"/>
      <w:r>
        <w:t>y  </w:t>
      </w:r>
      <w:r w:rsidRPr="0008329E">
        <w:t>eliminar</w:t>
      </w:r>
      <w:proofErr w:type="gramEnd"/>
      <w:r w:rsidRPr="0008329E">
        <w:t xml:space="preserve"> de manera tajante todo vínculo con el padre no solo violento, sino también asesino.</w:t>
      </w:r>
    </w:p>
    <w:p w:rsidR="00737023" w:rsidRDefault="00737023" w:rsidP="000516E5"/>
    <w:p w:rsidR="00737023" w:rsidRPr="0008329E" w:rsidRDefault="00737023" w:rsidP="000516E5">
      <w:r>
        <w:t>Por lo antes expuesto, someto a la consideración de la LXI Legislatura el siguiente decreto, en los términos que se indica en el proyecto que se adjunta.</w:t>
      </w:r>
    </w:p>
    <w:p w:rsidR="000516E5" w:rsidRDefault="000516E5" w:rsidP="000516E5">
      <w:pPr>
        <w:jc w:val="both"/>
      </w:pPr>
    </w:p>
    <w:p w:rsidR="00737023" w:rsidRDefault="00737023" w:rsidP="000516E5">
      <w:pPr>
        <w:jc w:val="both"/>
        <w:rPr>
          <w:b/>
        </w:rPr>
      </w:pPr>
    </w:p>
    <w:p w:rsidR="00737023" w:rsidRDefault="00737023" w:rsidP="000516E5">
      <w:pPr>
        <w:jc w:val="both"/>
        <w:rPr>
          <w:b/>
        </w:rPr>
      </w:pPr>
    </w:p>
    <w:p w:rsidR="00737023" w:rsidRDefault="00737023" w:rsidP="000516E5">
      <w:pPr>
        <w:jc w:val="both"/>
        <w:rPr>
          <w:b/>
        </w:rPr>
      </w:pPr>
    </w:p>
    <w:p w:rsidR="00737023" w:rsidRDefault="00737023" w:rsidP="000516E5">
      <w:pPr>
        <w:jc w:val="both"/>
        <w:rPr>
          <w:b/>
        </w:rPr>
      </w:pPr>
    </w:p>
    <w:p w:rsidR="00737023" w:rsidRDefault="00737023" w:rsidP="000516E5">
      <w:pPr>
        <w:jc w:val="both"/>
        <w:rPr>
          <w:b/>
        </w:rPr>
      </w:pPr>
    </w:p>
    <w:p w:rsidR="00737023" w:rsidRDefault="00737023" w:rsidP="000516E5">
      <w:pPr>
        <w:jc w:val="both"/>
        <w:rPr>
          <w:b/>
        </w:rPr>
      </w:pPr>
    </w:p>
    <w:p w:rsidR="00737023" w:rsidRDefault="00737023" w:rsidP="000516E5">
      <w:pPr>
        <w:jc w:val="both"/>
        <w:rPr>
          <w:b/>
        </w:rPr>
      </w:pPr>
    </w:p>
    <w:p w:rsidR="00737023" w:rsidRDefault="00737023" w:rsidP="000516E5">
      <w:pPr>
        <w:jc w:val="both"/>
        <w:rPr>
          <w:b/>
        </w:rPr>
      </w:pPr>
    </w:p>
    <w:p w:rsidR="00737023" w:rsidRDefault="00737023" w:rsidP="000516E5">
      <w:pPr>
        <w:jc w:val="both"/>
        <w:rPr>
          <w:b/>
        </w:rPr>
      </w:pPr>
    </w:p>
    <w:p w:rsidR="00737023" w:rsidRDefault="00737023" w:rsidP="000516E5">
      <w:pPr>
        <w:jc w:val="both"/>
        <w:rPr>
          <w:b/>
        </w:rPr>
      </w:pPr>
    </w:p>
    <w:p w:rsidR="00737023" w:rsidRDefault="00737023" w:rsidP="000516E5">
      <w:pPr>
        <w:jc w:val="both"/>
        <w:rPr>
          <w:b/>
        </w:rPr>
      </w:pPr>
    </w:p>
    <w:p w:rsidR="00737023" w:rsidRDefault="00737023" w:rsidP="000516E5">
      <w:pPr>
        <w:jc w:val="both"/>
        <w:rPr>
          <w:b/>
        </w:rPr>
      </w:pPr>
    </w:p>
    <w:p w:rsidR="000516E5" w:rsidRDefault="000516E5" w:rsidP="000516E5">
      <w:pPr>
        <w:jc w:val="both"/>
        <w:rPr>
          <w:b/>
        </w:rPr>
      </w:pPr>
      <w:r>
        <w:rPr>
          <w:b/>
        </w:rPr>
        <w:t>DECRETO NUMERO_______</w:t>
      </w:r>
    </w:p>
    <w:p w:rsidR="000516E5" w:rsidRDefault="000516E5" w:rsidP="000516E5">
      <w:pPr>
        <w:jc w:val="both"/>
        <w:rPr>
          <w:b/>
        </w:rPr>
      </w:pPr>
      <w:r>
        <w:rPr>
          <w:b/>
        </w:rPr>
        <w:t>LA H. “LXI” LEGISLATURA</w:t>
      </w:r>
    </w:p>
    <w:p w:rsidR="000516E5" w:rsidRDefault="000516E5" w:rsidP="000516E5">
      <w:pPr>
        <w:jc w:val="both"/>
        <w:rPr>
          <w:b/>
        </w:rPr>
      </w:pPr>
      <w:r>
        <w:rPr>
          <w:b/>
        </w:rPr>
        <w:t xml:space="preserve">DEL ESTADO DE </w:t>
      </w:r>
      <w:proofErr w:type="spellStart"/>
      <w:r>
        <w:rPr>
          <w:b/>
        </w:rPr>
        <w:t>MEXICO</w:t>
      </w:r>
      <w:proofErr w:type="spellEnd"/>
      <w:r>
        <w:rPr>
          <w:b/>
        </w:rPr>
        <w:t>.</w:t>
      </w:r>
    </w:p>
    <w:p w:rsidR="000516E5" w:rsidRDefault="000516E5" w:rsidP="000516E5">
      <w:pPr>
        <w:jc w:val="both"/>
        <w:rPr>
          <w:b/>
        </w:rPr>
      </w:pPr>
      <w:r>
        <w:rPr>
          <w:b/>
        </w:rPr>
        <w:t>DECRETA:</w:t>
      </w:r>
    </w:p>
    <w:p w:rsidR="000516E5" w:rsidRDefault="000516E5" w:rsidP="000516E5">
      <w:pPr>
        <w:jc w:val="both"/>
      </w:pPr>
    </w:p>
    <w:p w:rsidR="000516E5" w:rsidRDefault="000516E5" w:rsidP="000516E5">
      <w:pPr>
        <w:jc w:val="both"/>
      </w:pPr>
      <w:r w:rsidRPr="0010036C">
        <w:rPr>
          <w:b/>
        </w:rPr>
        <w:t>ARTICULO PRIMERO</w:t>
      </w:r>
      <w:r>
        <w:t>. - Se reforma</w:t>
      </w:r>
      <w:r w:rsidR="00E24C4D">
        <w:t>n</w:t>
      </w:r>
      <w:r>
        <w:t xml:space="preserve"> </w:t>
      </w:r>
      <w:r w:rsidR="006835C3">
        <w:t>los</w:t>
      </w:r>
      <w:r>
        <w:t xml:space="preserve"> párrafo</w:t>
      </w:r>
      <w:r w:rsidR="00E528B7">
        <w:t>s</w:t>
      </w:r>
      <w:r>
        <w:t xml:space="preserve"> segundo y</w:t>
      </w:r>
      <w:r w:rsidR="00E24C4D">
        <w:t xml:space="preserve"> tercero de</w:t>
      </w:r>
      <w:r>
        <w:t>l artículo 281 del Código Penal del Estado de México, para quedar como sigue:</w:t>
      </w:r>
    </w:p>
    <w:p w:rsidR="000516E5" w:rsidRDefault="000516E5" w:rsidP="000516E5">
      <w:r>
        <w:t xml:space="preserve">Artículo 281. …     </w:t>
      </w:r>
    </w:p>
    <w:p w:rsidR="000516E5" w:rsidRDefault="000516E5" w:rsidP="000516E5">
      <w:r>
        <w:t xml:space="preserve"> I. a VIII. …</w:t>
      </w:r>
    </w:p>
    <w:p w:rsidR="000516E5" w:rsidRDefault="000516E5" w:rsidP="000516E5">
      <w:pPr>
        <w:jc w:val="both"/>
        <w:rPr>
          <w:b/>
        </w:rPr>
      </w:pPr>
      <w:r>
        <w:t>En los casos a que se refiere este artículo, la penalidad será de cuarenta a setenta años de prisión o prisión vitalicia y de setecientos a cinco mil días multa,</w:t>
      </w:r>
      <w:r>
        <w:rPr>
          <w:b/>
        </w:rPr>
        <w:t xml:space="preserve"> misma pena se aplicará, cuando se cometa frente a las hijas o hijos de la víctima directa.</w:t>
      </w:r>
    </w:p>
    <w:p w:rsidR="000516E5" w:rsidRDefault="000516E5" w:rsidP="000516E5">
      <w:pPr>
        <w:jc w:val="both"/>
        <w:rPr>
          <w:b/>
        </w:rPr>
      </w:pPr>
      <w:r w:rsidRPr="00E24C4D">
        <w:t>Además de las sanciones descritas en el presente artículo, el sujeto activo perderá todos los derechos con relación a la víctima, incluidos los de carácter sucesorio,</w:t>
      </w:r>
      <w:r>
        <w:rPr>
          <w:b/>
        </w:rPr>
        <w:t xml:space="preserve"> los inherentes a la patria potestad, tutela, guarda y custodia sobre los menores hijos que queden en estado de orfandad</w:t>
      </w:r>
      <w:r w:rsidR="00E24C4D">
        <w:rPr>
          <w:b/>
        </w:rPr>
        <w:t>.</w:t>
      </w:r>
      <w:r w:rsidRPr="00355DB8">
        <w:rPr>
          <w:b/>
        </w:rPr>
        <w:cr/>
      </w:r>
    </w:p>
    <w:p w:rsidR="000516E5" w:rsidRDefault="000516E5" w:rsidP="000516E5">
      <w:pPr>
        <w:jc w:val="both"/>
        <w:rPr>
          <w:rFonts w:ascii="Bookman Old Style" w:hAnsi="Bookman Old Style"/>
          <w:b/>
          <w:sz w:val="20"/>
        </w:rPr>
      </w:pPr>
    </w:p>
    <w:p w:rsidR="000516E5" w:rsidRDefault="000516E5" w:rsidP="000516E5">
      <w:pPr>
        <w:jc w:val="both"/>
        <w:rPr>
          <w:rFonts w:ascii="Bookman Old Style" w:hAnsi="Bookman Old Style"/>
          <w:b/>
          <w:sz w:val="20"/>
        </w:rPr>
      </w:pPr>
    </w:p>
    <w:p w:rsidR="000516E5" w:rsidRDefault="000516E5" w:rsidP="000516E5">
      <w:pPr>
        <w:jc w:val="both"/>
      </w:pPr>
      <w:r>
        <w:rPr>
          <w:rFonts w:ascii="Bookman Old Style" w:hAnsi="Bookman Old Style"/>
          <w:b/>
          <w:sz w:val="20"/>
        </w:rPr>
        <w:t xml:space="preserve">ARTICULO </w:t>
      </w:r>
      <w:proofErr w:type="gramStart"/>
      <w:r>
        <w:rPr>
          <w:rFonts w:ascii="Bookman Old Style" w:hAnsi="Bookman Old Style"/>
          <w:b/>
          <w:sz w:val="20"/>
        </w:rPr>
        <w:t>SEGUNDO.-</w:t>
      </w:r>
      <w:proofErr w:type="gramEnd"/>
      <w:r>
        <w:rPr>
          <w:rFonts w:ascii="Bookman Old Style" w:hAnsi="Bookman Old Style"/>
          <w:b/>
          <w:sz w:val="20"/>
        </w:rPr>
        <w:t xml:space="preserve"> </w:t>
      </w:r>
      <w:r w:rsidRPr="00BB6B6F">
        <w:rPr>
          <w:rFonts w:ascii="Bookman Old Style" w:hAnsi="Bookman Old Style"/>
          <w:sz w:val="20"/>
        </w:rPr>
        <w:t>Se adiciona una fracción V al artículo 4.225 del Código Civil del Estado de México</w:t>
      </w:r>
      <w:r w:rsidRPr="009B7403">
        <w:rPr>
          <w:rFonts w:ascii="Bookman Old Style" w:hAnsi="Bookman Old Style"/>
          <w:b/>
          <w:sz w:val="20"/>
        </w:rPr>
        <w:t xml:space="preserve"> </w:t>
      </w:r>
      <w:r>
        <w:t>para quedar como sigue:</w:t>
      </w:r>
    </w:p>
    <w:p w:rsidR="000516E5" w:rsidRPr="00866485" w:rsidRDefault="000516E5" w:rsidP="000516E5">
      <w:pPr>
        <w:jc w:val="both"/>
        <w:rPr>
          <w:rFonts w:ascii="Bookman Old Style" w:hAnsi="Bookman Old Style"/>
          <w:sz w:val="20"/>
        </w:rPr>
      </w:pPr>
      <w:r w:rsidRPr="00866485">
        <w:rPr>
          <w:rFonts w:ascii="Bookman Old Style" w:hAnsi="Bookman Old Style"/>
          <w:b/>
          <w:sz w:val="20"/>
        </w:rPr>
        <w:t>Artículo</w:t>
      </w:r>
      <w:r w:rsidRPr="00866485">
        <w:rPr>
          <w:rFonts w:ascii="Bookman Old Style" w:hAnsi="Bookman Old Style"/>
          <w:sz w:val="20"/>
        </w:rPr>
        <w:t xml:space="preserve"> </w:t>
      </w:r>
      <w:r w:rsidRPr="00866485">
        <w:rPr>
          <w:rFonts w:ascii="Bookman Old Style" w:hAnsi="Bookman Old Style"/>
          <w:b/>
          <w:sz w:val="20"/>
        </w:rPr>
        <w:t xml:space="preserve">4.225.- </w:t>
      </w:r>
      <w:r>
        <w:rPr>
          <w:rFonts w:ascii="Bookman Old Style" w:hAnsi="Bookman Old Style"/>
          <w:b/>
          <w:sz w:val="20"/>
        </w:rPr>
        <w:t>…</w:t>
      </w:r>
    </w:p>
    <w:p w:rsidR="000516E5" w:rsidRPr="00866485" w:rsidRDefault="000516E5" w:rsidP="000516E5">
      <w:pPr>
        <w:jc w:val="both"/>
        <w:rPr>
          <w:rFonts w:ascii="Bookman Old Style" w:hAnsi="Bookman Old Style"/>
          <w:b/>
          <w:sz w:val="20"/>
        </w:rPr>
      </w:pPr>
      <w:r w:rsidRPr="00866485">
        <w:rPr>
          <w:rFonts w:ascii="Bookman Old Style" w:hAnsi="Bookman Old Style"/>
          <w:sz w:val="20"/>
        </w:rPr>
        <w:t xml:space="preserve">I. </w:t>
      </w:r>
      <w:r>
        <w:rPr>
          <w:rFonts w:ascii="Bookman Old Style" w:hAnsi="Bookman Old Style"/>
          <w:sz w:val="20"/>
        </w:rPr>
        <w:t>a IV. …</w:t>
      </w:r>
    </w:p>
    <w:p w:rsidR="000516E5" w:rsidRPr="00C310EA" w:rsidRDefault="000516E5" w:rsidP="000516E5">
      <w:pPr>
        <w:jc w:val="both"/>
        <w:rPr>
          <w:b/>
        </w:rPr>
      </w:pPr>
      <w:r>
        <w:rPr>
          <w:b/>
        </w:rPr>
        <w:t xml:space="preserve">V.- POR AUTO DE </w:t>
      </w:r>
      <w:proofErr w:type="spellStart"/>
      <w:r>
        <w:rPr>
          <w:b/>
        </w:rPr>
        <w:t>VINCULACION</w:t>
      </w:r>
      <w:proofErr w:type="spellEnd"/>
      <w:r>
        <w:rPr>
          <w:b/>
        </w:rPr>
        <w:t xml:space="preserve"> A PROCESO DICTADO POR DELITO DE FEMINICIDIO O SU TENTATIVA EN CONTRA DE LA MADRE DE LAS NIÑAS, NIÑOS Y ADOLESCENTES SUJETOS A PATRIA POTESTAD</w:t>
      </w:r>
    </w:p>
    <w:p w:rsidR="000516E5" w:rsidRDefault="000516E5" w:rsidP="000516E5">
      <w:pPr>
        <w:jc w:val="both"/>
      </w:pPr>
    </w:p>
    <w:p w:rsidR="00E4042F" w:rsidRDefault="00E4042F" w:rsidP="000516E5">
      <w:pPr>
        <w:jc w:val="both"/>
      </w:pPr>
    </w:p>
    <w:p w:rsidR="00E4042F" w:rsidRDefault="00E4042F" w:rsidP="00E4042F">
      <w:pPr>
        <w:jc w:val="center"/>
        <w:rPr>
          <w:b/>
        </w:rPr>
      </w:pPr>
      <w:r w:rsidRPr="00E4042F">
        <w:rPr>
          <w:b/>
        </w:rPr>
        <w:t>TRANSITORIOS</w:t>
      </w:r>
    </w:p>
    <w:p w:rsidR="00E4042F" w:rsidRDefault="00E4042F" w:rsidP="00E4042F">
      <w:pPr>
        <w:jc w:val="center"/>
        <w:rPr>
          <w:b/>
        </w:rPr>
      </w:pPr>
    </w:p>
    <w:p w:rsidR="00E4042F" w:rsidRDefault="00E4042F" w:rsidP="00E4042F">
      <w:pPr>
        <w:rPr>
          <w:b/>
        </w:rPr>
      </w:pPr>
      <w:proofErr w:type="gramStart"/>
      <w:r>
        <w:rPr>
          <w:b/>
        </w:rPr>
        <w:t>PRIMERO.-</w:t>
      </w:r>
      <w:proofErr w:type="gramEnd"/>
      <w:r>
        <w:rPr>
          <w:b/>
        </w:rPr>
        <w:t xml:space="preserve"> Publíquese el Presente Decreto en el Periódico Oficial “Gaceta del Gobierno”.</w:t>
      </w:r>
    </w:p>
    <w:p w:rsidR="00E4042F" w:rsidRDefault="00E4042F" w:rsidP="00E4042F">
      <w:pPr>
        <w:rPr>
          <w:b/>
        </w:rPr>
      </w:pPr>
    </w:p>
    <w:p w:rsidR="00E4042F" w:rsidRDefault="00E4042F" w:rsidP="00E4042F">
      <w:pPr>
        <w:rPr>
          <w:b/>
        </w:rPr>
      </w:pPr>
      <w:proofErr w:type="gramStart"/>
      <w:r>
        <w:rPr>
          <w:b/>
        </w:rPr>
        <w:t>SEGUNDO.-</w:t>
      </w:r>
      <w:proofErr w:type="gramEnd"/>
      <w:r>
        <w:rPr>
          <w:b/>
        </w:rPr>
        <w:t>El presente Decreto entrara en vigor al día siguiente de su publicación en el periódico oficial Gaceta del Gobierno.</w:t>
      </w:r>
    </w:p>
    <w:p w:rsidR="00E4042F" w:rsidRDefault="00E4042F" w:rsidP="00E4042F">
      <w:pPr>
        <w:rPr>
          <w:b/>
        </w:rPr>
      </w:pPr>
    </w:p>
    <w:p w:rsidR="00E4042F" w:rsidRDefault="00E4042F" w:rsidP="00E4042F">
      <w:pPr>
        <w:rPr>
          <w:b/>
        </w:rPr>
      </w:pPr>
      <w:r>
        <w:rPr>
          <w:b/>
        </w:rPr>
        <w:t>Lo tendrá entendido el Gobernador del Estado de México, haciendo que se publique y se cumpla</w:t>
      </w:r>
    </w:p>
    <w:p w:rsidR="00E4042F" w:rsidRDefault="00E4042F" w:rsidP="00E4042F">
      <w:pPr>
        <w:rPr>
          <w:b/>
        </w:rPr>
      </w:pPr>
    </w:p>
    <w:p w:rsidR="000516E5" w:rsidRPr="000516E5" w:rsidRDefault="00E4042F" w:rsidP="000516E5">
      <w:r>
        <w:rPr>
          <w:b/>
        </w:rPr>
        <w:t xml:space="preserve">Dado en el Palacio del Poder Legislativo, en la ciudad de Toluca de Lerdo, Capital del Estado de </w:t>
      </w:r>
      <w:proofErr w:type="spellStart"/>
      <w:r>
        <w:rPr>
          <w:b/>
        </w:rPr>
        <w:t>Mexico</w:t>
      </w:r>
      <w:proofErr w:type="spellEnd"/>
      <w:r>
        <w:rPr>
          <w:b/>
        </w:rPr>
        <w:t>.</w:t>
      </w:r>
    </w:p>
    <w:sectPr w:rsidR="000516E5" w:rsidRPr="000516E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2C9" w:rsidRDefault="00AD32C9" w:rsidP="0036039E">
      <w:pPr>
        <w:spacing w:after="0" w:line="240" w:lineRule="auto"/>
      </w:pPr>
      <w:r>
        <w:separator/>
      </w:r>
    </w:p>
  </w:endnote>
  <w:endnote w:type="continuationSeparator" w:id="0">
    <w:p w:rsidR="00AD32C9" w:rsidRDefault="00AD32C9" w:rsidP="00360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49E" w:rsidRDefault="00AD32C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</w:p>
  <w:tbl>
    <w:tblPr>
      <w:tblW w:w="8837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651"/>
      <w:gridCol w:w="884"/>
      <w:gridCol w:w="884"/>
      <w:gridCol w:w="883"/>
      <w:gridCol w:w="883"/>
      <w:gridCol w:w="883"/>
      <w:gridCol w:w="883"/>
      <w:gridCol w:w="886"/>
    </w:tblGrid>
    <w:tr w:rsidR="000F249E">
      <w:tc>
        <w:tcPr>
          <w:tcW w:w="2652" w:type="dxa"/>
        </w:tcPr>
        <w:p w:rsidR="000F249E" w:rsidRDefault="005956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both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Plaza Hidalgo S/N Col. Centro</w:t>
          </w:r>
        </w:p>
        <w:p w:rsidR="000F249E" w:rsidRDefault="005956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both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Toluca, México, C.P. 50000</w:t>
          </w:r>
        </w:p>
        <w:p w:rsidR="000F249E" w:rsidRDefault="005956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both"/>
            <w:rPr>
              <w:color w:val="000000"/>
            </w:rPr>
          </w:pPr>
          <w:r>
            <w:rPr>
              <w:color w:val="000000"/>
              <w:sz w:val="18"/>
              <w:szCs w:val="18"/>
            </w:rPr>
            <w:t>Tels. (722) 279 6400 EXT. 6419</w:t>
          </w:r>
        </w:p>
      </w:tc>
      <w:tc>
        <w:tcPr>
          <w:tcW w:w="884" w:type="dxa"/>
        </w:tcPr>
        <w:p w:rsidR="000F249E" w:rsidRDefault="00AD32C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right"/>
            <w:rPr>
              <w:color w:val="000000"/>
            </w:rPr>
          </w:pPr>
        </w:p>
      </w:tc>
      <w:tc>
        <w:tcPr>
          <w:tcW w:w="884" w:type="dxa"/>
        </w:tcPr>
        <w:p w:rsidR="000F249E" w:rsidRDefault="005956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right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hidden="0" allowOverlap="1" wp14:anchorId="0A5BD9CF" wp14:editId="00BF94B9">
                <wp:simplePos x="0" y="0"/>
                <wp:positionH relativeFrom="column">
                  <wp:posOffset>30481</wp:posOffset>
                </wp:positionH>
                <wp:positionV relativeFrom="paragraph">
                  <wp:posOffset>15875</wp:posOffset>
                </wp:positionV>
                <wp:extent cx="1077595" cy="424180"/>
                <wp:effectExtent l="0" t="0" r="0" b="0"/>
                <wp:wrapNone/>
                <wp:docPr id="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7595" cy="4241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83" w:type="dxa"/>
        </w:tcPr>
        <w:p w:rsidR="000F249E" w:rsidRDefault="00AD32C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right"/>
            <w:rPr>
              <w:color w:val="000000"/>
            </w:rPr>
          </w:pPr>
        </w:p>
      </w:tc>
      <w:tc>
        <w:tcPr>
          <w:tcW w:w="883" w:type="dxa"/>
        </w:tcPr>
        <w:p w:rsidR="000F249E" w:rsidRDefault="005956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right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hidden="0" allowOverlap="1" wp14:anchorId="50B92B5D" wp14:editId="6AC1646D">
                <wp:simplePos x="0" y="0"/>
                <wp:positionH relativeFrom="column">
                  <wp:posOffset>440529</wp:posOffset>
                </wp:positionH>
                <wp:positionV relativeFrom="paragraph">
                  <wp:posOffset>60960</wp:posOffset>
                </wp:positionV>
                <wp:extent cx="1894205" cy="233680"/>
                <wp:effectExtent l="0" t="0" r="0" b="0"/>
                <wp:wrapNone/>
                <wp:docPr id="4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 r="7170" b="3186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4205" cy="2336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83" w:type="dxa"/>
        </w:tcPr>
        <w:p w:rsidR="000F249E" w:rsidRDefault="00AD32C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right"/>
            <w:rPr>
              <w:color w:val="000000"/>
            </w:rPr>
          </w:pPr>
        </w:p>
      </w:tc>
      <w:tc>
        <w:tcPr>
          <w:tcW w:w="883" w:type="dxa"/>
        </w:tcPr>
        <w:p w:rsidR="000F249E" w:rsidRDefault="00AD32C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right"/>
            <w:rPr>
              <w:color w:val="000000"/>
            </w:rPr>
          </w:pPr>
        </w:p>
      </w:tc>
      <w:tc>
        <w:tcPr>
          <w:tcW w:w="886" w:type="dxa"/>
        </w:tcPr>
        <w:p w:rsidR="000F249E" w:rsidRDefault="00AD32C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right"/>
            <w:rPr>
              <w:color w:val="000000"/>
            </w:rPr>
          </w:pPr>
        </w:p>
        <w:p w:rsidR="000F249E" w:rsidRDefault="00AD32C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right"/>
            <w:rPr>
              <w:color w:val="000000"/>
            </w:rPr>
          </w:pPr>
        </w:p>
        <w:p w:rsidR="000F249E" w:rsidRDefault="005956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right"/>
            <w:rPr>
              <w:color w:val="000000"/>
            </w:rPr>
          </w:pP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8D0992">
            <w:rPr>
              <w:noProof/>
              <w:color w:val="000000"/>
            </w:rPr>
            <w:t>5</w:t>
          </w:r>
          <w:r>
            <w:rPr>
              <w:color w:val="000000"/>
            </w:rPr>
            <w:fldChar w:fldCharType="end"/>
          </w:r>
        </w:p>
      </w:tc>
    </w:tr>
  </w:tbl>
  <w:p w:rsidR="000F249E" w:rsidRDefault="00AD32C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0F249E" w:rsidRDefault="00AD32C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2C9" w:rsidRDefault="00AD32C9" w:rsidP="0036039E">
      <w:pPr>
        <w:spacing w:after="0" w:line="240" w:lineRule="auto"/>
      </w:pPr>
      <w:r>
        <w:separator/>
      </w:r>
    </w:p>
  </w:footnote>
  <w:footnote w:type="continuationSeparator" w:id="0">
    <w:p w:rsidR="00AD32C9" w:rsidRDefault="00AD32C9" w:rsidP="00360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49E" w:rsidRDefault="005956B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26FEC74" wp14:editId="6ACEC819">
          <wp:extent cx="2471282" cy="813971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71282" cy="8139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9DF5C7F" wp14:editId="28EC3FE4">
              <wp:simplePos x="0" y="0"/>
              <wp:positionH relativeFrom="column">
                <wp:posOffset>2197100</wp:posOffset>
              </wp:positionH>
              <wp:positionV relativeFrom="paragraph">
                <wp:posOffset>605155</wp:posOffset>
              </wp:positionV>
              <wp:extent cx="1977390" cy="216000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7390" cy="21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2BF6" w:rsidRPr="00C85FE3" w:rsidRDefault="005956BD" w:rsidP="005D2BF6">
                          <w:pPr>
                            <w:rPr>
                              <w:rFonts w:ascii="Lato" w:hAnsi="Lato"/>
                              <w:b/>
                              <w:color w:val="97184B"/>
                              <w:sz w:val="14"/>
                              <w:szCs w:val="14"/>
                            </w:rPr>
                          </w:pPr>
                          <w:r w:rsidRPr="00C85FE3">
                            <w:rPr>
                              <w:rFonts w:ascii="Lato" w:hAnsi="Lato"/>
                              <w:b/>
                              <w:color w:val="97184B"/>
                              <w:sz w:val="14"/>
                              <w:szCs w:val="14"/>
                            </w:rPr>
                            <w:t>G</w:t>
                          </w:r>
                          <w:r>
                            <w:rPr>
                              <w:rFonts w:ascii="Lato" w:hAnsi="Lato"/>
                              <w:b/>
                              <w:color w:val="97184B"/>
                              <w:sz w:val="14"/>
                              <w:szCs w:val="14"/>
                            </w:rPr>
                            <w:t>rupo Parlamentario morena</w:t>
                          </w:r>
                        </w:p>
                        <w:p w:rsidR="005D2BF6" w:rsidRPr="00847C68" w:rsidRDefault="00AD32C9" w:rsidP="005D2BF6">
                          <w:pPr>
                            <w:rPr>
                              <w:rFonts w:ascii="Lato" w:hAnsi="Lato"/>
                              <w:b/>
                              <w:color w:val="692044"/>
                              <w:sz w:val="14"/>
                              <w:szCs w:val="14"/>
                            </w:rPr>
                          </w:pPr>
                        </w:p>
                        <w:p w:rsidR="005D2BF6" w:rsidRPr="00847C68" w:rsidRDefault="00AD32C9" w:rsidP="005D2BF6">
                          <w:pPr>
                            <w:rPr>
                              <w:rFonts w:ascii="Lato" w:hAnsi="Lato"/>
                              <w:b/>
                              <w:color w:val="692044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19DF5C7F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173pt;margin-top:47.65pt;width:155.7pt;height: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" filled="f" stroked="f">
              <v:textbox>
                <w:txbxContent>
                  <w:p w:rsidR="005D2BF6" w:rsidRPr="00C85FE3" w:rsidRDefault="005956BD" w:rsidP="005D2BF6">
                    <w:pPr>
                      <w:rPr>
                        <w:rFonts w:ascii="Lato" w:hAnsi="Lato"/>
                        <w:b/>
                        <w:color w:val="97184B"/>
                        <w:sz w:val="14"/>
                        <w:szCs w:val="14"/>
                      </w:rPr>
                    </w:pPr>
                    <w:r w:rsidRPr="00C85FE3">
                      <w:rPr>
                        <w:rFonts w:ascii="Lato" w:hAnsi="Lato"/>
                        <w:b/>
                        <w:color w:val="97184B"/>
                        <w:sz w:val="14"/>
                        <w:szCs w:val="14"/>
                      </w:rPr>
                      <w:t>G</w:t>
                    </w:r>
                    <w:r>
                      <w:rPr>
                        <w:rFonts w:ascii="Lato" w:hAnsi="Lato"/>
                        <w:b/>
                        <w:color w:val="97184B"/>
                        <w:sz w:val="14"/>
                        <w:szCs w:val="14"/>
                      </w:rPr>
                      <w:t>rupo Parlamentario morena</w:t>
                    </w:r>
                  </w:p>
                  <w:p w:rsidR="005D2BF6" w:rsidRPr="00847C68" w:rsidRDefault="005956BD" w:rsidP="005D2BF6">
                    <w:pPr>
                      <w:rPr>
                        <w:rFonts w:ascii="Lato" w:hAnsi="Lato"/>
                        <w:b/>
                        <w:color w:val="692044"/>
                        <w:sz w:val="14"/>
                        <w:szCs w:val="14"/>
                      </w:rPr>
                    </w:pPr>
                  </w:p>
                  <w:p w:rsidR="005D2BF6" w:rsidRPr="00847C68" w:rsidRDefault="005956BD" w:rsidP="005D2BF6">
                    <w:pPr>
                      <w:rPr>
                        <w:rFonts w:ascii="Lato" w:hAnsi="Lato"/>
                        <w:b/>
                        <w:color w:val="692044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F249E" w:rsidRDefault="005956B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360" w:lineRule="auto"/>
      <w:jc w:val="center"/>
      <w:rPr>
        <w:b/>
        <w:color w:val="96174A"/>
        <w:sz w:val="16"/>
        <w:szCs w:val="16"/>
      </w:rPr>
    </w:pPr>
    <w:r>
      <w:rPr>
        <w:b/>
        <w:color w:val="96174A"/>
        <w:sz w:val="16"/>
        <w:szCs w:val="16"/>
      </w:rPr>
      <w:t>DIP. ANAIS MIRIAM BURGOS HERNÁNDEZ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E609D9"/>
    <w:multiLevelType w:val="multilevel"/>
    <w:tmpl w:val="D8864510"/>
    <w:lvl w:ilvl="0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F764E68"/>
    <w:multiLevelType w:val="multilevel"/>
    <w:tmpl w:val="70A4E3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39E"/>
    <w:rsid w:val="000516E5"/>
    <w:rsid w:val="0036039E"/>
    <w:rsid w:val="00562021"/>
    <w:rsid w:val="005956BD"/>
    <w:rsid w:val="006835C3"/>
    <w:rsid w:val="006E3BAB"/>
    <w:rsid w:val="00737023"/>
    <w:rsid w:val="008D0992"/>
    <w:rsid w:val="009D7A75"/>
    <w:rsid w:val="00A3408A"/>
    <w:rsid w:val="00AA3363"/>
    <w:rsid w:val="00AD32C9"/>
    <w:rsid w:val="00E24C4D"/>
    <w:rsid w:val="00E4042F"/>
    <w:rsid w:val="00E5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E61141-662F-45EE-8380-4E59D576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6039E"/>
    <w:rPr>
      <w:rFonts w:ascii="Calibri" w:eastAsia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09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0992"/>
    <w:rPr>
      <w:rFonts w:ascii="Calibri" w:eastAsia="Calibri" w:hAnsi="Calibri" w:cs="Calibri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8D09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0992"/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1110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LEGISLATURA</dc:creator>
  <cp:keywords/>
  <dc:description/>
  <cp:lastModifiedBy>PRODESK HP</cp:lastModifiedBy>
  <cp:revision>2</cp:revision>
  <dcterms:created xsi:type="dcterms:W3CDTF">2023-03-23T17:56:00Z</dcterms:created>
  <dcterms:modified xsi:type="dcterms:W3CDTF">2023-03-23T17:56:00Z</dcterms:modified>
</cp:coreProperties>
</file>